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015" w:rsidRDefault="00323C31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Wymagania z </w:t>
      </w:r>
      <w:bookmarkStart w:id="0" w:name="_GoBack"/>
      <w:bookmarkEnd w:id="0"/>
      <w:r w:rsidR="00DE3015" w:rsidRPr="003C38AC">
        <w:rPr>
          <w:b/>
          <w:bCs/>
          <w:sz w:val="32"/>
          <w:szCs w:val="32"/>
        </w:rPr>
        <w:t xml:space="preserve">wiedzy o społeczeństwie </w:t>
      </w:r>
      <w:r w:rsidR="00ED7689">
        <w:rPr>
          <w:b/>
          <w:bCs/>
          <w:sz w:val="32"/>
          <w:szCs w:val="32"/>
        </w:rPr>
        <w:br/>
      </w:r>
      <w:r w:rsidR="00DE3015" w:rsidRPr="003C38AC">
        <w:rPr>
          <w:b/>
          <w:bCs/>
          <w:sz w:val="32"/>
          <w:szCs w:val="32"/>
        </w:rPr>
        <w:t>dla klasy 8 szkoły podstawowej</w:t>
      </w:r>
    </w:p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</w:t>
            </w:r>
            <w:proofErr w:type="spellStart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przedstawia czynniki mające wpływ na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samoocenę człowieka,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</w:t>
            </w:r>
            <w:proofErr w:type="spellStart"/>
            <w:r>
              <w:t>zachowań</w:t>
            </w:r>
            <w:proofErr w:type="spellEnd"/>
            <w:r>
              <w:t xml:space="preserve">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uczuć, jakie towarzyszą ludziom podczas konfliktu.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</w:t>
            </w:r>
            <w:r w:rsidR="00DF53E4">
              <w:lastRenderedPageBreak/>
              <w:t>życia.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proofErr w:type="spellStart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>- wyjaśnia społeczne 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</w:t>
            </w:r>
            <w:proofErr w:type="spellStart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opowiada o roli rodziców, dzieci i osób 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podaje funkcje rodziny i przykłady ich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najważniejsze 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ważnych w jego rodzinie i prezentuje jej wyniki,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główne etapy skutecznego przygotowania się do 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formy działania),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omawia wymogi współczesnego rynku pracy i ich wpływ na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prawa przysługujące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przedstawia zasady świadomych,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ograniczania praw człowieka w różnych sytuacjach i przytacza 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trafne argumenty.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uczestniczy w przygotowaniu projektu dotyczącego ochrony praw człowieka.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odgrywa system ochrony praw 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człowieka.</w:t>
            </w:r>
          </w:p>
        </w:tc>
        <w:tc>
          <w:tcPr>
            <w:tcW w:w="824" w:type="pct"/>
          </w:tcPr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przygotowuje prezentację na temat działalności wybranej organizacji pozarządowej zajmującej się ochroną praw człowieka,</w:t>
            </w:r>
          </w:p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:rsidR="00E019EA" w:rsidRPr="00E019EA" w:rsidRDefault="00E019EA" w:rsidP="009B2FA7"/>
        </w:tc>
        <w:tc>
          <w:tcPr>
            <w:tcW w:w="824" w:type="pct"/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kim są 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przykłady 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zasady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odpowiedzialności 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postępowania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sądowego wobec 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policja i straż miejska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(gminna) służby porządkowe i określa ich uprawnienia,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samorządów 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samorządu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odgrywa samorząd 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podaje, w jakich przypadkach zostaje wprowadzony zarząd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komisaryczny,</w:t>
            </w:r>
          </w:p>
          <w:p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zadania 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i odwoływane organy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wojewódzkie,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koncepcji akcji promującej region za granicą.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powiatu i województwa,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obowiązki obywatela 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prawo krwi i prawo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i obowiązki obywatela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różnych tożsamości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społeczno-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określa różnicę między obywatelami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polega różnica między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mniejszością narodową 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strukturę ludności zamieszkującej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skupisk poszczególnych mniejszości 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:rsidTr="00C96A6A">
        <w:trPr>
          <w:trHeight w:val="211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przymusowości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prezydentów Polski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informacje w tekście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w czasie obrad Rady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Europejskiej,</w:t>
            </w:r>
          </w:p>
          <w:p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i jak działa strefa </w:t>
            </w:r>
            <w:proofErr w:type="spellStart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23C31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19A4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31</Pages>
  <Words>8559</Words>
  <Characters>51354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Agnieszka Milczarek</cp:lastModifiedBy>
  <cp:revision>275</cp:revision>
  <dcterms:created xsi:type="dcterms:W3CDTF">2017-08-31T08:52:00Z</dcterms:created>
  <dcterms:modified xsi:type="dcterms:W3CDTF">2021-10-25T12:21:00Z</dcterms:modified>
</cp:coreProperties>
</file>